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E55" w:rsidRDefault="00E95E55" w:rsidP="00E95E55">
      <w:pPr>
        <w:spacing w:after="0"/>
        <w:jc w:val="center"/>
      </w:pPr>
      <w:r>
        <w:t xml:space="preserve">Tentative </w:t>
      </w:r>
      <w:r w:rsidR="0016118A">
        <w:t>Course</w:t>
      </w:r>
      <w:r>
        <w:t xml:space="preserve"> </w:t>
      </w:r>
      <w:r w:rsidR="00CA2042">
        <w:t>Calendar</w:t>
      </w:r>
      <w:r w:rsidRPr="00E95E55">
        <w:t xml:space="preserve"> </w:t>
      </w:r>
    </w:p>
    <w:p w:rsidR="00E95E55" w:rsidRDefault="00E95E55" w:rsidP="00E95E55">
      <w:pPr>
        <w:spacing w:after="0"/>
        <w:jc w:val="center"/>
      </w:pPr>
      <w:r>
        <w:t>CI 512: TEACHING AND LEARNING</w:t>
      </w:r>
    </w:p>
    <w:p w:rsidR="00E95E55" w:rsidRDefault="00E95E55" w:rsidP="00E95E55">
      <w:pPr>
        <w:spacing w:after="0"/>
        <w:jc w:val="center"/>
      </w:pPr>
      <w:r>
        <w:t>Portland State University</w:t>
      </w:r>
    </w:p>
    <w:p w:rsidR="00E95E55" w:rsidRPr="00940529" w:rsidRDefault="00E95E55" w:rsidP="00E95E55">
      <w:pPr>
        <w:spacing w:after="0"/>
        <w:jc w:val="center"/>
      </w:pPr>
      <w:r>
        <w:t xml:space="preserve">Graduate School of </w:t>
      </w:r>
      <w:r w:rsidRPr="00940529">
        <w:t>Education- Curriculum and Instruction</w:t>
      </w:r>
    </w:p>
    <w:p w:rsidR="00E95E55" w:rsidRPr="00940529" w:rsidRDefault="00E95E55" w:rsidP="00E95E55">
      <w:pPr>
        <w:spacing w:after="0"/>
        <w:jc w:val="center"/>
      </w:pPr>
      <w:r w:rsidRPr="00940529">
        <w:t>CRN#</w:t>
      </w:r>
      <w:r w:rsidRPr="00940529">
        <w:rPr>
          <w:szCs w:val="15"/>
        </w:rPr>
        <w:t xml:space="preserve"> 80359</w:t>
      </w:r>
    </w:p>
    <w:p w:rsidR="00E95E55" w:rsidRPr="00940529" w:rsidRDefault="00E95E55" w:rsidP="00E95E55">
      <w:pPr>
        <w:pBdr>
          <w:bottom w:val="thickThinSmallGap" w:sz="24" w:space="1" w:color="auto"/>
        </w:pBdr>
        <w:spacing w:after="0"/>
        <w:jc w:val="center"/>
      </w:pPr>
      <w:r w:rsidRPr="00940529">
        <w:t>Summer 2011</w:t>
      </w:r>
    </w:p>
    <w:p w:rsidR="00CA2042" w:rsidRDefault="00E95E55" w:rsidP="00CA2042">
      <w:pPr>
        <w:spacing w:after="0"/>
      </w:pPr>
      <w:r>
        <w:tab/>
      </w:r>
      <w:r>
        <w:tab/>
      </w:r>
      <w:r>
        <w:tab/>
      </w:r>
    </w:p>
    <w:p w:rsidR="004E227C" w:rsidRDefault="004E227C" w:rsidP="00CA2042">
      <w:pPr>
        <w:spacing w:after="0"/>
      </w:pPr>
      <w:r>
        <w:t xml:space="preserve">Please note that this is an intended calendar subject to change based upon emerging needs and interests.  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278"/>
        <w:gridCol w:w="2250"/>
        <w:gridCol w:w="6570"/>
        <w:gridCol w:w="2970"/>
      </w:tblGrid>
      <w:tr w:rsidR="004E227C" w:rsidTr="00433FBC">
        <w:trPr>
          <w:trHeight w:val="332"/>
        </w:trPr>
        <w:tc>
          <w:tcPr>
            <w:tcW w:w="1278" w:type="dxa"/>
          </w:tcPr>
          <w:p w:rsidR="004E227C" w:rsidRPr="00E95E55" w:rsidRDefault="004E227C" w:rsidP="00E95E55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2250" w:type="dxa"/>
          </w:tcPr>
          <w:p w:rsidR="004E227C" w:rsidRPr="00E95E55" w:rsidRDefault="004E227C" w:rsidP="00E95E55">
            <w:pPr>
              <w:rPr>
                <w:b/>
              </w:rPr>
            </w:pPr>
            <w:r w:rsidRPr="00E95E55">
              <w:rPr>
                <w:b/>
              </w:rPr>
              <w:t>Topics</w:t>
            </w:r>
          </w:p>
        </w:tc>
        <w:tc>
          <w:tcPr>
            <w:tcW w:w="6570" w:type="dxa"/>
          </w:tcPr>
          <w:p w:rsidR="004E227C" w:rsidRPr="00E95E55" w:rsidRDefault="004E227C" w:rsidP="00E95E55">
            <w:pPr>
              <w:rPr>
                <w:b/>
              </w:rPr>
            </w:pPr>
            <w:r w:rsidRPr="00E95E55">
              <w:rPr>
                <w:b/>
              </w:rPr>
              <w:t>Readings</w:t>
            </w:r>
            <w:r>
              <w:rPr>
                <w:b/>
              </w:rPr>
              <w:t xml:space="preserve"> (to be completed by that class day)</w:t>
            </w:r>
          </w:p>
        </w:tc>
        <w:tc>
          <w:tcPr>
            <w:tcW w:w="2970" w:type="dxa"/>
          </w:tcPr>
          <w:p w:rsidR="004E227C" w:rsidRPr="00E95E55" w:rsidRDefault="004E227C" w:rsidP="00E95E55">
            <w:pPr>
              <w:rPr>
                <w:b/>
              </w:rPr>
            </w:pPr>
            <w:r w:rsidRPr="00E95E55">
              <w:rPr>
                <w:b/>
              </w:rPr>
              <w:t>Assignments Due</w:t>
            </w:r>
          </w:p>
        </w:tc>
      </w:tr>
      <w:tr w:rsidR="004E227C" w:rsidTr="00433FBC">
        <w:trPr>
          <w:trHeight w:val="1304"/>
        </w:trPr>
        <w:tc>
          <w:tcPr>
            <w:tcW w:w="1278" w:type="dxa"/>
          </w:tcPr>
          <w:p w:rsidR="004E227C" w:rsidRPr="00E95E55" w:rsidRDefault="004E227C" w:rsidP="004E227C">
            <w:pPr>
              <w:rPr>
                <w:b/>
              </w:rPr>
            </w:pPr>
            <w:r w:rsidRPr="00E95E55">
              <w:rPr>
                <w:b/>
              </w:rPr>
              <w:t>Tuesday 7/19</w:t>
            </w:r>
          </w:p>
          <w:p w:rsidR="004E227C" w:rsidRPr="00E95E55" w:rsidRDefault="004E227C" w:rsidP="004E227C">
            <w:pPr>
              <w:rPr>
                <w:b/>
              </w:rPr>
            </w:pPr>
          </w:p>
        </w:tc>
        <w:tc>
          <w:tcPr>
            <w:tcW w:w="2250" w:type="dxa"/>
          </w:tcPr>
          <w:p w:rsidR="004E227C" w:rsidRPr="00E95E55" w:rsidRDefault="004E227C" w:rsidP="004E227C">
            <w:r w:rsidRPr="00E95E55">
              <w:t xml:space="preserve">Introductions, Course Expectations, </w:t>
            </w:r>
            <w:r>
              <w:t xml:space="preserve">Why </w:t>
            </w:r>
            <w:r w:rsidRPr="00E95E55">
              <w:t>Theory</w:t>
            </w:r>
            <w:r>
              <w:t>?</w:t>
            </w:r>
          </w:p>
          <w:p w:rsidR="004E227C" w:rsidRPr="00E95E55" w:rsidRDefault="004E227C" w:rsidP="00E95E55">
            <w:pPr>
              <w:rPr>
                <w:b/>
              </w:rPr>
            </w:pPr>
          </w:p>
        </w:tc>
        <w:tc>
          <w:tcPr>
            <w:tcW w:w="6570" w:type="dxa"/>
          </w:tcPr>
          <w:p w:rsidR="004E227C" w:rsidRPr="000B0980" w:rsidRDefault="004E227C" w:rsidP="00E95E55">
            <w:pPr>
              <w:ind w:left="720" w:hanging="7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No prior readings</w:t>
            </w:r>
          </w:p>
        </w:tc>
        <w:tc>
          <w:tcPr>
            <w:tcW w:w="2970" w:type="dxa"/>
          </w:tcPr>
          <w:p w:rsidR="004E227C" w:rsidRPr="000B0980" w:rsidRDefault="004E227C" w:rsidP="00433FBC">
            <w:pPr>
              <w:ind w:left="342" w:hanging="342"/>
            </w:pPr>
            <w:r>
              <w:t>No assignments due</w:t>
            </w:r>
          </w:p>
        </w:tc>
      </w:tr>
      <w:tr w:rsidR="004E227C" w:rsidTr="00433FBC">
        <w:trPr>
          <w:trHeight w:val="2288"/>
        </w:trPr>
        <w:tc>
          <w:tcPr>
            <w:tcW w:w="1278" w:type="dxa"/>
          </w:tcPr>
          <w:p w:rsidR="004E227C" w:rsidRPr="00E95E55" w:rsidRDefault="004E227C" w:rsidP="004E227C">
            <w:pPr>
              <w:rPr>
                <w:b/>
              </w:rPr>
            </w:pPr>
            <w:r>
              <w:rPr>
                <w:b/>
              </w:rPr>
              <w:t xml:space="preserve">Thursday </w:t>
            </w:r>
            <w:r w:rsidRPr="00E95E55">
              <w:rPr>
                <w:b/>
              </w:rPr>
              <w:t>7/21</w:t>
            </w:r>
          </w:p>
          <w:p w:rsidR="004E227C" w:rsidRDefault="004E227C" w:rsidP="00E95E55"/>
        </w:tc>
        <w:tc>
          <w:tcPr>
            <w:tcW w:w="2250" w:type="dxa"/>
          </w:tcPr>
          <w:p w:rsidR="004E227C" w:rsidRDefault="004E227C" w:rsidP="00C10CE3">
            <w:r>
              <w:t>Behaviorism</w:t>
            </w:r>
            <w:r w:rsidR="00C10CE3">
              <w:t>, The Role of Drill and Practice</w:t>
            </w:r>
          </w:p>
        </w:tc>
        <w:tc>
          <w:tcPr>
            <w:tcW w:w="6570" w:type="dxa"/>
          </w:tcPr>
          <w:p w:rsidR="004E227C" w:rsidRPr="000B0980" w:rsidRDefault="004E227C" w:rsidP="00E95E55">
            <w:pPr>
              <w:ind w:left="720" w:hanging="720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0B0980">
              <w:rPr>
                <w:rFonts w:ascii="Times New Roman" w:hAnsi="Times New Roman" w:cs="Times New Roman"/>
                <w:sz w:val="22"/>
                <w:szCs w:val="22"/>
              </w:rPr>
              <w:t xml:space="preserve">Chapter 3: </w:t>
            </w: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Phillips, D. C., &amp; </w:t>
            </w:r>
            <w:proofErr w:type="spellStart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>Soltis</w:t>
            </w:r>
            <w:proofErr w:type="spellEnd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, J. F. (2009). </w:t>
            </w:r>
            <w:r w:rsidRPr="000B0980">
              <w:rPr>
                <w:rFonts w:ascii="Times New Roman" w:eastAsiaTheme="minorEastAsia" w:hAnsi="Times New Roman" w:cs="Times New Roman"/>
                <w:i/>
                <w:sz w:val="22"/>
                <w:szCs w:val="22"/>
              </w:rPr>
              <w:t>Perspectives on Learning</w:t>
            </w: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(5th ed.). New York: Teachers College Press.</w:t>
            </w:r>
          </w:p>
          <w:p w:rsidR="004E227C" w:rsidRPr="000B0980" w:rsidRDefault="004E227C" w:rsidP="00E95E55">
            <w:pPr>
              <w:ind w:left="720" w:hanging="720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proofErr w:type="spellStart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>Resnick</w:t>
            </w:r>
            <w:proofErr w:type="spellEnd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, L., &amp; Ford, W. (1981). The psychology of drill and practice. </w:t>
            </w:r>
            <w:r w:rsidRPr="000B0980">
              <w:rPr>
                <w:rFonts w:ascii="Times New Roman" w:eastAsiaTheme="minorEastAsia" w:hAnsi="Times New Roman" w:cs="Times New Roman"/>
                <w:i/>
                <w:sz w:val="22"/>
                <w:szCs w:val="22"/>
              </w:rPr>
              <w:t>The Psychology of Mathematics for Instruction</w:t>
            </w: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 (pp. 11-37). Hillsdale, New Jersey: Lawrence Erlbaum Associates.</w:t>
            </w:r>
          </w:p>
          <w:p w:rsidR="004E227C" w:rsidRPr="000B0980" w:rsidRDefault="004E227C" w:rsidP="00E95E55">
            <w:pPr>
              <w:ind w:left="720" w:hanging="720"/>
              <w:rPr>
                <w:rFonts w:ascii="Times New Roman" w:eastAsiaTheme="minorEastAsia" w:hAnsi="Times New Roman" w:cs="Times New Roman"/>
                <w:sz w:val="22"/>
                <w:szCs w:val="22"/>
              </w:rPr>
            </w:pP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Brownell, W. A., &amp; </w:t>
            </w:r>
            <w:proofErr w:type="spellStart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>Chazal</w:t>
            </w:r>
            <w:proofErr w:type="spellEnd"/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, C. B. (1935). The Effects of Premature Drill in Third-Grade Arithmetic. </w:t>
            </w:r>
            <w:r w:rsidRPr="000B0980">
              <w:rPr>
                <w:rFonts w:ascii="Times New Roman" w:eastAsiaTheme="minorEastAsia" w:hAnsi="Times New Roman" w:cs="Times New Roman"/>
                <w:i/>
                <w:sz w:val="22"/>
                <w:szCs w:val="22"/>
              </w:rPr>
              <w:t>The Journal of Educational Research</w:t>
            </w: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, </w:t>
            </w:r>
            <w:r w:rsidRPr="000B0980">
              <w:rPr>
                <w:rFonts w:ascii="Times New Roman" w:eastAsiaTheme="minorEastAsia" w:hAnsi="Times New Roman" w:cs="Times New Roman"/>
                <w:i/>
                <w:sz w:val="22"/>
                <w:szCs w:val="22"/>
              </w:rPr>
              <w:t>29</w:t>
            </w:r>
            <w:r w:rsidRPr="000B0980">
              <w:rPr>
                <w:rFonts w:ascii="Times New Roman" w:eastAsiaTheme="minorEastAsia" w:hAnsi="Times New Roman" w:cs="Times New Roman"/>
                <w:sz w:val="22"/>
                <w:szCs w:val="22"/>
              </w:rPr>
              <w:t>(1), 17-28.</w:t>
            </w:r>
          </w:p>
          <w:p w:rsidR="004E227C" w:rsidRDefault="004E227C" w:rsidP="00E95E55">
            <w:r>
              <w:t>Course Syllabus</w:t>
            </w:r>
          </w:p>
        </w:tc>
        <w:tc>
          <w:tcPr>
            <w:tcW w:w="2970" w:type="dxa"/>
          </w:tcPr>
          <w:p w:rsidR="004E227C" w:rsidRDefault="004E227C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Reading Response</w:t>
            </w:r>
            <w:r>
              <w:t xml:space="preserve"> (Phillips Ch. 3,Resnick &amp; Ford, Brownell)</w:t>
            </w:r>
          </w:p>
          <w:p w:rsidR="004E227C" w:rsidRPr="000B0980" w:rsidRDefault="004E227C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>
              <w:t xml:space="preserve">Compose Questions </w:t>
            </w:r>
            <w:r w:rsidR="00C10CE3">
              <w:t>about</w:t>
            </w:r>
            <w:r>
              <w:t xml:space="preserve"> the syllabus</w:t>
            </w:r>
          </w:p>
        </w:tc>
      </w:tr>
      <w:tr w:rsidR="004E227C" w:rsidTr="00433FBC">
        <w:trPr>
          <w:trHeight w:val="620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Tuesday 7/26</w:t>
            </w:r>
          </w:p>
        </w:tc>
        <w:tc>
          <w:tcPr>
            <w:tcW w:w="2250" w:type="dxa"/>
          </w:tcPr>
          <w:p w:rsidR="004E227C" w:rsidRDefault="004E227C" w:rsidP="00E95E55">
            <w:r>
              <w:t>Conceptual and Procedural Understanding</w:t>
            </w:r>
          </w:p>
          <w:p w:rsidR="004E227C" w:rsidRDefault="004E227C" w:rsidP="00E95E55"/>
        </w:tc>
        <w:tc>
          <w:tcPr>
            <w:tcW w:w="6570" w:type="dxa"/>
          </w:tcPr>
          <w:p w:rsidR="004E227C" w:rsidRPr="00AF74C3" w:rsidRDefault="004E227C" w:rsidP="004E227C">
            <w:pPr>
              <w:ind w:left="720" w:hanging="720"/>
              <w:rPr>
                <w:rFonts w:ascii="Times New Roman" w:hAnsi="Times New Roman" w:cs="Times New Roman"/>
              </w:rPr>
            </w:pPr>
            <w:proofErr w:type="spellStart"/>
            <w:r w:rsidRPr="00AF74C3">
              <w:rPr>
                <w:rFonts w:ascii="Times New Roman" w:hAnsi="Times New Roman" w:cs="Times New Roman"/>
              </w:rPr>
              <w:t>Skemp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, R. (1978). Relational understanding and instrumental understanding. </w:t>
            </w:r>
            <w:r w:rsidRPr="00AF74C3">
              <w:rPr>
                <w:rFonts w:ascii="Times New Roman" w:hAnsi="Times New Roman" w:cs="Times New Roman"/>
                <w:i/>
              </w:rPr>
              <w:t>Arithmetic Teacher</w:t>
            </w:r>
            <w:r w:rsidRPr="00AF74C3">
              <w:rPr>
                <w:rFonts w:ascii="Times New Roman" w:hAnsi="Times New Roman" w:cs="Times New Roman"/>
              </w:rPr>
              <w:t xml:space="preserve">, </w:t>
            </w:r>
            <w:r w:rsidRPr="00AF74C3">
              <w:rPr>
                <w:rFonts w:ascii="Times New Roman" w:hAnsi="Times New Roman" w:cs="Times New Roman"/>
                <w:i/>
              </w:rPr>
              <w:t>26</w:t>
            </w:r>
            <w:r w:rsidRPr="00AF74C3">
              <w:rPr>
                <w:rFonts w:ascii="Times New Roman" w:hAnsi="Times New Roman" w:cs="Times New Roman"/>
              </w:rPr>
              <w:t>, 9-15.</w:t>
            </w:r>
          </w:p>
          <w:p w:rsidR="004E227C" w:rsidRPr="00AF74C3" w:rsidRDefault="004E227C" w:rsidP="004E227C">
            <w:pPr>
              <w:ind w:left="720" w:hanging="720"/>
              <w:rPr>
                <w:rFonts w:ascii="Times New Roman" w:hAnsi="Times New Roman" w:cs="Times New Roman"/>
              </w:rPr>
            </w:pPr>
            <w:r w:rsidRPr="00AF74C3">
              <w:rPr>
                <w:rFonts w:ascii="Times New Roman" w:hAnsi="Times New Roman" w:cs="Times New Roman"/>
              </w:rPr>
              <w:t xml:space="preserve">Star, J. (2005). </w:t>
            </w:r>
            <w:proofErr w:type="spellStart"/>
            <w:r w:rsidRPr="00AF74C3">
              <w:rPr>
                <w:rFonts w:ascii="Times New Roman" w:hAnsi="Times New Roman" w:cs="Times New Roman"/>
              </w:rPr>
              <w:t>Reconceptualizing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 procedural knowledge. </w:t>
            </w:r>
            <w:r w:rsidRPr="00AF74C3">
              <w:rPr>
                <w:rFonts w:ascii="Times New Roman" w:hAnsi="Times New Roman" w:cs="Times New Roman"/>
                <w:i/>
              </w:rPr>
              <w:t>Journal for Research in Mathematics Education</w:t>
            </w:r>
            <w:r w:rsidRPr="00AF74C3">
              <w:rPr>
                <w:rFonts w:ascii="Times New Roman" w:hAnsi="Times New Roman" w:cs="Times New Roman"/>
              </w:rPr>
              <w:t xml:space="preserve">, </w:t>
            </w:r>
            <w:r w:rsidRPr="00AF74C3">
              <w:rPr>
                <w:rFonts w:ascii="Times New Roman" w:hAnsi="Times New Roman" w:cs="Times New Roman"/>
                <w:i/>
              </w:rPr>
              <w:t>36</w:t>
            </w:r>
            <w:r w:rsidRPr="00AF74C3">
              <w:rPr>
                <w:rFonts w:ascii="Times New Roman" w:hAnsi="Times New Roman" w:cs="Times New Roman"/>
              </w:rPr>
              <w:t xml:space="preserve">(5), 404-411. </w:t>
            </w:r>
          </w:p>
          <w:p w:rsidR="004E227C" w:rsidRPr="00AF74C3" w:rsidRDefault="004E227C" w:rsidP="004E227C">
            <w:pPr>
              <w:ind w:left="720" w:hanging="720"/>
              <w:rPr>
                <w:rFonts w:ascii="Times New Roman" w:hAnsi="Times New Roman" w:cs="Times New Roman"/>
              </w:rPr>
            </w:pPr>
            <w:r w:rsidRPr="00AF74C3">
              <w:rPr>
                <w:rFonts w:ascii="Times New Roman" w:hAnsi="Times New Roman" w:cs="Times New Roman"/>
              </w:rPr>
              <w:t xml:space="preserve">Thompson, A. G., Philipp, R., Thompson, P. W., &amp; Boyd, B. A. (1994). </w:t>
            </w:r>
            <w:proofErr w:type="spellStart"/>
            <w:r w:rsidRPr="00AF74C3">
              <w:rPr>
                <w:rFonts w:ascii="Times New Roman" w:hAnsi="Times New Roman" w:cs="Times New Roman"/>
              </w:rPr>
              <w:t>Calculational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 and conceptual orientations in teaching mathematics. In A. F. </w:t>
            </w:r>
            <w:proofErr w:type="spellStart"/>
            <w:r w:rsidRPr="00AF74C3">
              <w:rPr>
                <w:rFonts w:ascii="Times New Roman" w:hAnsi="Times New Roman" w:cs="Times New Roman"/>
              </w:rPr>
              <w:t>Coxford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 (Ed.), </w:t>
            </w:r>
            <w:r w:rsidRPr="00AF74C3">
              <w:rPr>
                <w:rFonts w:ascii="Times New Roman" w:hAnsi="Times New Roman" w:cs="Times New Roman"/>
                <w:i/>
              </w:rPr>
              <w:t>Professional development for teachers of mathematics</w:t>
            </w:r>
            <w:r w:rsidRPr="00AF74C3">
              <w:rPr>
                <w:rFonts w:ascii="Times New Roman" w:hAnsi="Times New Roman" w:cs="Times New Roman"/>
              </w:rPr>
              <w:t xml:space="preserve"> (pp. 79-92). Reston, VA: National Council of Teachers of Mathematics.</w:t>
            </w:r>
          </w:p>
          <w:p w:rsidR="004E227C" w:rsidRDefault="004E227C" w:rsidP="00E95E55"/>
        </w:tc>
        <w:tc>
          <w:tcPr>
            <w:tcW w:w="2970" w:type="dxa"/>
          </w:tcPr>
          <w:p w:rsidR="004E227C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lastRenderedPageBreak/>
              <w:t>Reading Response</w:t>
            </w:r>
            <w:r>
              <w:t xml:space="preserve"> (</w:t>
            </w:r>
            <w:proofErr w:type="spellStart"/>
            <w:r>
              <w:t>Skemp</w:t>
            </w:r>
            <w:proofErr w:type="spellEnd"/>
            <w:r>
              <w:t>, Star, Thompson)</w:t>
            </w:r>
          </w:p>
          <w:p w:rsidR="00C10CE3" w:rsidRPr="0016118A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>Snapshots Draft 1</w:t>
            </w:r>
          </w:p>
        </w:tc>
      </w:tr>
      <w:tr w:rsidR="004E227C" w:rsidTr="00433FBC">
        <w:trPr>
          <w:trHeight w:val="2288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lastRenderedPageBreak/>
              <w:t>Thursday 7/28</w:t>
            </w:r>
          </w:p>
        </w:tc>
        <w:tc>
          <w:tcPr>
            <w:tcW w:w="2250" w:type="dxa"/>
          </w:tcPr>
          <w:p w:rsidR="004E227C" w:rsidRDefault="00C10CE3" w:rsidP="00E95E55">
            <w:r>
              <w:t>Learning and Transfer</w:t>
            </w:r>
          </w:p>
        </w:tc>
        <w:tc>
          <w:tcPr>
            <w:tcW w:w="6570" w:type="dxa"/>
          </w:tcPr>
          <w:p w:rsidR="00C10CE3" w:rsidRPr="00AF74C3" w:rsidRDefault="00C10CE3" w:rsidP="00C10CE3">
            <w:pPr>
              <w:ind w:left="720" w:hanging="720"/>
              <w:rPr>
                <w:rFonts w:ascii="Times New Roman" w:hAnsi="Times New Roman" w:cs="Times New Roman"/>
              </w:rPr>
            </w:pPr>
            <w:proofErr w:type="spellStart"/>
            <w:r w:rsidRPr="00AF74C3">
              <w:rPr>
                <w:rFonts w:ascii="Times New Roman" w:hAnsi="Times New Roman" w:cs="Times New Roman"/>
              </w:rPr>
              <w:t>Bransford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, J. D., Brown, A. L., &amp; Cocking, R. R. (Eds.). (1999). </w:t>
            </w:r>
            <w:r w:rsidRPr="00AF74C3">
              <w:rPr>
                <w:rFonts w:ascii="Times New Roman" w:hAnsi="Times New Roman" w:cs="Times New Roman"/>
                <w:i/>
              </w:rPr>
              <w:t>How People Learn: Brain, Mind, Experience, and School</w:t>
            </w:r>
            <w:r w:rsidRPr="00AF74C3">
              <w:rPr>
                <w:rFonts w:ascii="Times New Roman" w:hAnsi="Times New Roman" w:cs="Times New Roman"/>
              </w:rPr>
              <w:t>. Washington D.C.: National Academy Press.</w:t>
            </w:r>
          </w:p>
          <w:p w:rsidR="00C10CE3" w:rsidRPr="00AF74C3" w:rsidRDefault="00C10CE3" w:rsidP="00C10CE3">
            <w:pPr>
              <w:pStyle w:val="NormalWeb"/>
              <w:spacing w:before="0" w:beforeAutospacing="0" w:after="0" w:afterAutospacing="0"/>
              <w:ind w:left="720" w:hanging="720"/>
            </w:pPr>
            <w:proofErr w:type="spellStart"/>
            <w:r w:rsidRPr="00AF74C3">
              <w:t>Lobato</w:t>
            </w:r>
            <w:proofErr w:type="spellEnd"/>
            <w:r w:rsidRPr="00AF74C3">
              <w:t xml:space="preserve">, J. (2003). How design research can inform a rethinking of transfer and vice versa. </w:t>
            </w:r>
            <w:r w:rsidRPr="00AF74C3">
              <w:rPr>
                <w:i/>
                <w:iCs/>
              </w:rPr>
              <w:t>Educational Researcher</w:t>
            </w:r>
            <w:r w:rsidRPr="00AF74C3">
              <w:t xml:space="preserve">, </w:t>
            </w:r>
            <w:r w:rsidRPr="00AF74C3">
              <w:rPr>
                <w:i/>
                <w:iCs/>
              </w:rPr>
              <w:t>32</w:t>
            </w:r>
            <w:r w:rsidRPr="00AF74C3">
              <w:t xml:space="preserve">(1), 17-20. </w:t>
            </w:r>
            <w:r w:rsidRPr="00AF74C3">
              <w:rPr>
                <w:rStyle w:val="z3988"/>
              </w:rPr>
              <w:t> </w:t>
            </w:r>
          </w:p>
          <w:p w:rsidR="004E227C" w:rsidRDefault="004E227C" w:rsidP="00E95E55"/>
        </w:tc>
        <w:tc>
          <w:tcPr>
            <w:tcW w:w="2970" w:type="dxa"/>
          </w:tcPr>
          <w:p w:rsidR="004E227C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Reading Response</w:t>
            </w:r>
            <w:r>
              <w:t xml:space="preserve"> (</w:t>
            </w:r>
            <w:proofErr w:type="spellStart"/>
            <w:r>
              <w:t>Bransford</w:t>
            </w:r>
            <w:proofErr w:type="spellEnd"/>
            <w:r>
              <w:t xml:space="preserve">, </w:t>
            </w:r>
            <w:proofErr w:type="spellStart"/>
            <w:r>
              <w:t>Lobato</w:t>
            </w:r>
            <w:proofErr w:type="spellEnd"/>
            <w:r>
              <w:t>)</w:t>
            </w:r>
          </w:p>
        </w:tc>
      </w:tr>
      <w:tr w:rsidR="004E227C" w:rsidTr="00433FBC">
        <w:trPr>
          <w:trHeight w:val="1115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Tuesday 8/2</w:t>
            </w:r>
          </w:p>
        </w:tc>
        <w:tc>
          <w:tcPr>
            <w:tcW w:w="2250" w:type="dxa"/>
          </w:tcPr>
          <w:p w:rsidR="004E227C" w:rsidRDefault="00C10CE3" w:rsidP="00E95E55">
            <w:r>
              <w:t>Constructivism Part I</w:t>
            </w:r>
          </w:p>
        </w:tc>
        <w:tc>
          <w:tcPr>
            <w:tcW w:w="6570" w:type="dxa"/>
          </w:tcPr>
          <w:p w:rsidR="00C10CE3" w:rsidRPr="00AF74C3" w:rsidRDefault="00C10CE3" w:rsidP="00C10CE3">
            <w:pPr>
              <w:ind w:left="720" w:hanging="720"/>
              <w:rPr>
                <w:rFonts w:ascii="Times New Roman" w:hAnsi="Times New Roman" w:cs="Times New Roman"/>
              </w:rPr>
            </w:pPr>
            <w:r w:rsidRPr="00AF74C3">
              <w:rPr>
                <w:rFonts w:ascii="Times New Roman" w:hAnsi="Times New Roman" w:cs="Times New Roman"/>
              </w:rPr>
              <w:t xml:space="preserve">Chapter 5, Phillips, D. C., &amp; </w:t>
            </w:r>
            <w:proofErr w:type="spellStart"/>
            <w:r w:rsidRPr="00AF74C3">
              <w:rPr>
                <w:rFonts w:ascii="Times New Roman" w:hAnsi="Times New Roman" w:cs="Times New Roman"/>
              </w:rPr>
              <w:t>Soltis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, J. F. (2009). </w:t>
            </w:r>
            <w:r w:rsidRPr="00AF74C3">
              <w:rPr>
                <w:rFonts w:ascii="Times New Roman" w:hAnsi="Times New Roman" w:cs="Times New Roman"/>
                <w:i/>
              </w:rPr>
              <w:t>Perspectives on Learning</w:t>
            </w:r>
            <w:r w:rsidRPr="00AF74C3">
              <w:rPr>
                <w:rFonts w:ascii="Times New Roman" w:hAnsi="Times New Roman" w:cs="Times New Roman"/>
              </w:rPr>
              <w:t xml:space="preserve"> (5th ed.). New York: Teachers College Press.</w:t>
            </w:r>
          </w:p>
          <w:p w:rsidR="00C10CE3" w:rsidRPr="003A5833" w:rsidRDefault="00794D3F" w:rsidP="00C10CE3">
            <w:pPr>
              <w:ind w:left="720" w:hanging="720"/>
              <w:rPr>
                <w:rFonts w:ascii="Times New Roman" w:hAnsi="Times New Roman" w:cs="Times New Roman"/>
              </w:rPr>
            </w:pPr>
            <w:r w:rsidRPr="003A5833">
              <w:rPr>
                <w:rFonts w:ascii="Times New Roman" w:hAnsi="Times New Roman" w:cs="Times New Roman"/>
              </w:rPr>
              <w:t xml:space="preserve">Chapter 1, </w:t>
            </w:r>
            <w:r w:rsidR="00C10CE3" w:rsidRPr="003A5833">
              <w:rPr>
                <w:rFonts w:ascii="Times New Roman" w:hAnsi="Times New Roman" w:cs="Times New Roman"/>
              </w:rPr>
              <w:t>Brooks, J. &amp; Brooks, M. (</w:t>
            </w:r>
            <w:r w:rsidR="003A5833" w:rsidRPr="003A5833">
              <w:rPr>
                <w:rFonts w:ascii="Times New Roman" w:hAnsi="Times New Roman" w:cs="Times New Roman"/>
              </w:rPr>
              <w:t>2001</w:t>
            </w:r>
            <w:r w:rsidR="00C10CE3" w:rsidRPr="003A5833">
              <w:rPr>
                <w:rFonts w:ascii="Times New Roman" w:hAnsi="Times New Roman" w:cs="Times New Roman"/>
              </w:rPr>
              <w:t>) The Case for the Constructivist Classroom</w:t>
            </w:r>
            <w:r w:rsidR="003A5833" w:rsidRPr="003A5833">
              <w:rPr>
                <w:rFonts w:ascii="Times New Roman" w:hAnsi="Times New Roman" w:cs="Times New Roman"/>
              </w:rPr>
              <w:t>. Upper Saddle River, NJ: Prentice-Hall, Inc.</w:t>
            </w:r>
          </w:p>
          <w:p w:rsidR="004E227C" w:rsidRDefault="004E227C" w:rsidP="00E95E55"/>
        </w:tc>
        <w:tc>
          <w:tcPr>
            <w:tcW w:w="2970" w:type="dxa"/>
          </w:tcPr>
          <w:p w:rsidR="004E227C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 xml:space="preserve">Reading Response </w:t>
            </w:r>
            <w:r>
              <w:t xml:space="preserve">(Ch. 5 Phillips &amp; </w:t>
            </w:r>
            <w:proofErr w:type="spellStart"/>
            <w:r>
              <w:t>Soltis</w:t>
            </w:r>
            <w:proofErr w:type="spellEnd"/>
            <w:r>
              <w:t>, Brooks)</w:t>
            </w:r>
          </w:p>
          <w:p w:rsidR="00C10CE3" w:rsidRPr="0016118A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>Snapshots Draft 2</w:t>
            </w:r>
          </w:p>
        </w:tc>
      </w:tr>
      <w:tr w:rsidR="004E227C" w:rsidTr="00433FBC">
        <w:trPr>
          <w:trHeight w:val="1070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Thursday 8/4</w:t>
            </w:r>
          </w:p>
        </w:tc>
        <w:tc>
          <w:tcPr>
            <w:tcW w:w="2250" w:type="dxa"/>
          </w:tcPr>
          <w:p w:rsidR="004E227C" w:rsidRDefault="00C10CE3" w:rsidP="00E95E55">
            <w:r>
              <w:t>Constructivism Part II</w:t>
            </w:r>
          </w:p>
        </w:tc>
        <w:tc>
          <w:tcPr>
            <w:tcW w:w="6570" w:type="dxa"/>
          </w:tcPr>
          <w:p w:rsidR="004E227C" w:rsidRPr="002D6580" w:rsidRDefault="00794D3F" w:rsidP="002D6580">
            <w:pPr>
              <w:ind w:left="720" w:hanging="720"/>
              <w:rPr>
                <w:rFonts w:ascii="Times New Roman" w:hAnsi="Times New Roman" w:cs="Times New Roman"/>
              </w:rPr>
            </w:pPr>
            <w:r w:rsidRPr="003A5833">
              <w:rPr>
                <w:rFonts w:ascii="Times New Roman" w:hAnsi="Times New Roman" w:cs="Times New Roman"/>
              </w:rPr>
              <w:t>Chapter</w:t>
            </w:r>
            <w:r w:rsidR="002D6580">
              <w:rPr>
                <w:rFonts w:ascii="Times New Roman" w:hAnsi="Times New Roman" w:cs="Times New Roman"/>
              </w:rPr>
              <w:t xml:space="preserve"> 2 and</w:t>
            </w:r>
            <w:r w:rsidRPr="003A5833">
              <w:rPr>
                <w:rFonts w:ascii="Times New Roman" w:hAnsi="Times New Roman" w:cs="Times New Roman"/>
              </w:rPr>
              <w:t xml:space="preserve"> 9</w:t>
            </w:r>
            <w:r w:rsidR="003A5833">
              <w:rPr>
                <w:rFonts w:ascii="Times New Roman" w:hAnsi="Times New Roman" w:cs="Times New Roman"/>
              </w:rPr>
              <w:t>,</w:t>
            </w:r>
            <w:r w:rsidRPr="003A5833">
              <w:rPr>
                <w:rFonts w:ascii="Times New Roman" w:hAnsi="Times New Roman" w:cs="Times New Roman"/>
              </w:rPr>
              <w:t xml:space="preserve"> </w:t>
            </w:r>
            <w:r w:rsidR="003A5833" w:rsidRPr="003A5833">
              <w:rPr>
                <w:rFonts w:ascii="Times New Roman" w:hAnsi="Times New Roman" w:cs="Times New Roman"/>
              </w:rPr>
              <w:t>Brooks, J. &amp; Brooks, M. (2001) The Case for the Constructivist Classroom. Upper Saddle River, NJ: Prentice-Hall, Inc.</w:t>
            </w:r>
            <w:bookmarkStart w:id="0" w:name="_GoBack"/>
            <w:bookmarkEnd w:id="0"/>
          </w:p>
        </w:tc>
        <w:tc>
          <w:tcPr>
            <w:tcW w:w="2970" w:type="dxa"/>
          </w:tcPr>
          <w:p w:rsidR="004E227C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Reading Response</w:t>
            </w:r>
            <w:r w:rsidR="002D6580">
              <w:t xml:space="preserve"> (</w:t>
            </w:r>
            <w:r>
              <w:t>Brooks</w:t>
            </w:r>
            <w:r w:rsidR="002D6580">
              <w:t xml:space="preserve"> Ch. 2, 9</w:t>
            </w:r>
            <w:r>
              <w:t>)</w:t>
            </w:r>
          </w:p>
        </w:tc>
      </w:tr>
      <w:tr w:rsidR="004E227C" w:rsidTr="00433FBC">
        <w:trPr>
          <w:trHeight w:val="890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Tuesday 8/9</w:t>
            </w:r>
          </w:p>
        </w:tc>
        <w:tc>
          <w:tcPr>
            <w:tcW w:w="2250" w:type="dxa"/>
          </w:tcPr>
          <w:p w:rsidR="004E227C" w:rsidRDefault="00C10CE3" w:rsidP="00E95E55">
            <w:r>
              <w:t>Social Learning Theory</w:t>
            </w:r>
          </w:p>
        </w:tc>
        <w:tc>
          <w:tcPr>
            <w:tcW w:w="6570" w:type="dxa"/>
          </w:tcPr>
          <w:p w:rsidR="003A5833" w:rsidRPr="00AF74C3" w:rsidRDefault="00C10CE3" w:rsidP="003A5833">
            <w:pPr>
              <w:ind w:left="720" w:hanging="720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Chapter 6, </w:t>
            </w:r>
            <w:r w:rsidRPr="00AF74C3">
              <w:rPr>
                <w:rFonts w:ascii="Times New Roman" w:eastAsiaTheme="minorEastAsia" w:hAnsi="Times New Roman" w:cs="Times New Roman"/>
              </w:rPr>
              <w:t xml:space="preserve">Phillips, D. C., &amp; </w:t>
            </w:r>
            <w:proofErr w:type="spellStart"/>
            <w:r w:rsidRPr="00AF74C3">
              <w:rPr>
                <w:rFonts w:ascii="Times New Roman" w:eastAsiaTheme="minorEastAsia" w:hAnsi="Times New Roman" w:cs="Times New Roman"/>
              </w:rPr>
              <w:t>Soltis</w:t>
            </w:r>
            <w:proofErr w:type="spellEnd"/>
            <w:r w:rsidRPr="00AF74C3">
              <w:rPr>
                <w:rFonts w:ascii="Times New Roman" w:eastAsiaTheme="minorEastAsia" w:hAnsi="Times New Roman" w:cs="Times New Roman"/>
              </w:rPr>
              <w:t xml:space="preserve">, J. F. (2009). </w:t>
            </w:r>
            <w:r w:rsidRPr="00AF74C3">
              <w:rPr>
                <w:rFonts w:ascii="Times New Roman" w:eastAsiaTheme="minorEastAsia" w:hAnsi="Times New Roman" w:cs="Times New Roman"/>
                <w:i/>
              </w:rPr>
              <w:t>Perspectives on Learning</w:t>
            </w:r>
            <w:r w:rsidRPr="00AF74C3">
              <w:rPr>
                <w:rFonts w:ascii="Times New Roman" w:eastAsiaTheme="minorEastAsia" w:hAnsi="Times New Roman" w:cs="Times New Roman"/>
              </w:rPr>
              <w:t xml:space="preserve"> (5th ed.). New York: Teachers College Press.</w:t>
            </w:r>
          </w:p>
          <w:p w:rsidR="004E227C" w:rsidRDefault="004E227C" w:rsidP="0016118A">
            <w:pPr>
              <w:ind w:left="720" w:hanging="720"/>
            </w:pPr>
          </w:p>
        </w:tc>
        <w:tc>
          <w:tcPr>
            <w:tcW w:w="2970" w:type="dxa"/>
          </w:tcPr>
          <w:p w:rsidR="004E227C" w:rsidRPr="0016118A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 xml:space="preserve">Synthesis </w:t>
            </w:r>
            <w:r w:rsidR="0016118A">
              <w:rPr>
                <w:b/>
              </w:rPr>
              <w:t xml:space="preserve">Paper </w:t>
            </w:r>
            <w:r w:rsidRPr="0016118A">
              <w:rPr>
                <w:b/>
              </w:rPr>
              <w:t>Draft</w:t>
            </w:r>
          </w:p>
          <w:p w:rsidR="00C10CE3" w:rsidRDefault="00C10CE3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Reading Response</w:t>
            </w:r>
            <w:r>
              <w:t xml:space="preserve"> (</w:t>
            </w:r>
            <w:proofErr w:type="spellStart"/>
            <w:r>
              <w:t>Ch</w:t>
            </w:r>
            <w:proofErr w:type="spellEnd"/>
            <w:r>
              <w:t xml:space="preserve"> 6. Phillips &amp; </w:t>
            </w:r>
            <w:proofErr w:type="spellStart"/>
            <w:r>
              <w:t>Soltis</w:t>
            </w:r>
            <w:proofErr w:type="spellEnd"/>
            <w:r>
              <w:t>)</w:t>
            </w:r>
          </w:p>
        </w:tc>
      </w:tr>
      <w:tr w:rsidR="004E227C" w:rsidTr="00433FBC">
        <w:trPr>
          <w:trHeight w:val="2258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Thursday 8/11</w:t>
            </w:r>
          </w:p>
        </w:tc>
        <w:tc>
          <w:tcPr>
            <w:tcW w:w="2250" w:type="dxa"/>
          </w:tcPr>
          <w:p w:rsidR="004E227C" w:rsidRDefault="0016118A" w:rsidP="00E95E55">
            <w:r>
              <w:t>Reactions to Constructivism and Reform Teaching</w:t>
            </w:r>
          </w:p>
        </w:tc>
        <w:tc>
          <w:tcPr>
            <w:tcW w:w="6570" w:type="dxa"/>
          </w:tcPr>
          <w:p w:rsidR="004E227C" w:rsidRDefault="00C10CE3" w:rsidP="00C10CE3">
            <w:pPr>
              <w:ind w:left="745" w:hanging="745"/>
              <w:rPr>
                <w:rFonts w:ascii="Times New Roman" w:hAnsi="Times New Roman" w:cs="Times New Roman"/>
              </w:rPr>
            </w:pPr>
            <w:proofErr w:type="spellStart"/>
            <w:r w:rsidRPr="00AF74C3">
              <w:rPr>
                <w:rFonts w:ascii="Times New Roman" w:hAnsi="Times New Roman" w:cs="Times New Roman"/>
              </w:rPr>
              <w:t>Kirschner</w:t>
            </w:r>
            <w:proofErr w:type="spellEnd"/>
            <w:r w:rsidRPr="00AF74C3">
              <w:rPr>
                <w:rFonts w:ascii="Times New Roman" w:hAnsi="Times New Roman" w:cs="Times New Roman"/>
              </w:rPr>
              <w:t xml:space="preserve">, P., </w:t>
            </w:r>
            <w:proofErr w:type="spellStart"/>
            <w:r w:rsidRPr="00AF74C3">
              <w:rPr>
                <w:rFonts w:ascii="Times New Roman" w:hAnsi="Times New Roman" w:cs="Times New Roman"/>
              </w:rPr>
              <w:t>Sweller</w:t>
            </w:r>
            <w:proofErr w:type="gramStart"/>
            <w:r w:rsidRPr="00AF74C3">
              <w:rPr>
                <w:rFonts w:ascii="Times New Roman" w:hAnsi="Times New Roman" w:cs="Times New Roman"/>
              </w:rPr>
              <w:t>,J</w:t>
            </w:r>
            <w:proofErr w:type="spellEnd"/>
            <w:proofErr w:type="gramEnd"/>
            <w:r w:rsidRPr="00AF74C3">
              <w:rPr>
                <w:rFonts w:ascii="Times New Roman" w:hAnsi="Times New Roman" w:cs="Times New Roman"/>
              </w:rPr>
              <w:t xml:space="preserve">., &amp; Clark, R. (2006). Why minimal guidance during instruction does not work: An analysis of the failure of constructivist, discovery, problem-based, experiential and inquiry-based teaching. </w:t>
            </w:r>
            <w:r w:rsidRPr="00AF74C3">
              <w:rPr>
                <w:rFonts w:ascii="Times New Roman" w:hAnsi="Times New Roman" w:cs="Times New Roman"/>
                <w:i/>
              </w:rPr>
              <w:t>Educational Psychologist</w:t>
            </w:r>
            <w:r w:rsidRPr="00AF74C3">
              <w:rPr>
                <w:rFonts w:ascii="Times New Roman" w:hAnsi="Times New Roman" w:cs="Times New Roman"/>
              </w:rPr>
              <w:t>. 41(2), 75-86.</w:t>
            </w:r>
          </w:p>
          <w:p w:rsidR="00C10CE3" w:rsidRPr="00CA6635" w:rsidRDefault="00C10CE3" w:rsidP="00C10CE3">
            <w:pPr>
              <w:ind w:left="720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Cohen, D. (1990). A revolution in one classroom: The case of Mrs. </w:t>
            </w:r>
            <w:proofErr w:type="spellStart"/>
            <w:r>
              <w:rPr>
                <w:rFonts w:ascii="Times New Roman" w:hAnsi="Times New Roman" w:cs="Times New Roman"/>
              </w:rPr>
              <w:t>Oublier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i/>
              </w:rPr>
              <w:t>Educational Evaluation and Policy Analysis.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12</w:t>
            </w:r>
            <w:r>
              <w:rPr>
                <w:rFonts w:ascii="Times New Roman" w:hAnsi="Times New Roman" w:cs="Times New Roman"/>
              </w:rPr>
              <w:t>(3), 311-329.</w:t>
            </w:r>
          </w:p>
          <w:p w:rsidR="00C10CE3" w:rsidRDefault="00C10CE3" w:rsidP="00E95E55"/>
        </w:tc>
        <w:tc>
          <w:tcPr>
            <w:tcW w:w="2970" w:type="dxa"/>
          </w:tcPr>
          <w:p w:rsidR="0016118A" w:rsidRDefault="0016118A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Reading Response</w:t>
            </w:r>
            <w:r>
              <w:t xml:space="preserve"> (</w:t>
            </w:r>
            <w:proofErr w:type="spellStart"/>
            <w:r>
              <w:t>Kirschner</w:t>
            </w:r>
            <w:proofErr w:type="spellEnd"/>
            <w:r>
              <w:t xml:space="preserve"> &amp; </w:t>
            </w:r>
            <w:proofErr w:type="spellStart"/>
            <w:r>
              <w:t>Sweller</w:t>
            </w:r>
            <w:proofErr w:type="spellEnd"/>
            <w:r>
              <w:t>, Cohen)</w:t>
            </w:r>
          </w:p>
          <w:p w:rsidR="004E227C" w:rsidRPr="0016118A" w:rsidRDefault="0016118A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 xml:space="preserve">Snapshots </w:t>
            </w:r>
            <w:r>
              <w:rPr>
                <w:b/>
              </w:rPr>
              <w:t xml:space="preserve">of Learning </w:t>
            </w:r>
            <w:r w:rsidRPr="0016118A">
              <w:rPr>
                <w:b/>
              </w:rPr>
              <w:t>Due</w:t>
            </w:r>
          </w:p>
        </w:tc>
      </w:tr>
      <w:tr w:rsidR="004E227C" w:rsidTr="00433FBC">
        <w:trPr>
          <w:trHeight w:val="818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lastRenderedPageBreak/>
              <w:t>Tuesday 8/16</w:t>
            </w:r>
          </w:p>
        </w:tc>
        <w:tc>
          <w:tcPr>
            <w:tcW w:w="2250" w:type="dxa"/>
          </w:tcPr>
          <w:p w:rsidR="004E227C" w:rsidRDefault="0016118A" w:rsidP="00E95E55">
            <w:r>
              <w:t>Teaching Project Presentations</w:t>
            </w:r>
          </w:p>
        </w:tc>
        <w:tc>
          <w:tcPr>
            <w:tcW w:w="6570" w:type="dxa"/>
          </w:tcPr>
          <w:p w:rsidR="004E227C" w:rsidRDefault="0016118A" w:rsidP="00E95E55">
            <w:r>
              <w:t>None</w:t>
            </w:r>
          </w:p>
        </w:tc>
        <w:tc>
          <w:tcPr>
            <w:tcW w:w="2970" w:type="dxa"/>
          </w:tcPr>
          <w:p w:rsidR="004E227C" w:rsidRPr="0016118A" w:rsidRDefault="0016118A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>Presentation Papers Due</w:t>
            </w:r>
          </w:p>
        </w:tc>
      </w:tr>
      <w:tr w:rsidR="004E227C" w:rsidTr="00433FBC">
        <w:trPr>
          <w:trHeight w:val="1340"/>
        </w:trPr>
        <w:tc>
          <w:tcPr>
            <w:tcW w:w="1278" w:type="dxa"/>
          </w:tcPr>
          <w:p w:rsidR="004E227C" w:rsidRPr="004E227C" w:rsidRDefault="004E227C" w:rsidP="00E95E55">
            <w:pPr>
              <w:rPr>
                <w:b/>
              </w:rPr>
            </w:pPr>
            <w:r w:rsidRPr="004E227C">
              <w:rPr>
                <w:b/>
              </w:rPr>
              <w:t>Thursday 8/18</w:t>
            </w:r>
          </w:p>
        </w:tc>
        <w:tc>
          <w:tcPr>
            <w:tcW w:w="2250" w:type="dxa"/>
          </w:tcPr>
          <w:p w:rsidR="004E227C" w:rsidRDefault="0016118A" w:rsidP="00E95E55">
            <w:r>
              <w:t xml:space="preserve">Teaching Project Presentations, Course Wrap-up, Course </w:t>
            </w:r>
            <w:proofErr w:type="spellStart"/>
            <w:r>
              <w:t>Evals</w:t>
            </w:r>
            <w:proofErr w:type="spellEnd"/>
            <w:r>
              <w:t xml:space="preserve">, </w:t>
            </w:r>
          </w:p>
        </w:tc>
        <w:tc>
          <w:tcPr>
            <w:tcW w:w="6570" w:type="dxa"/>
          </w:tcPr>
          <w:p w:rsidR="004E227C" w:rsidRDefault="0016118A" w:rsidP="00E95E55">
            <w:r>
              <w:t>None</w:t>
            </w:r>
          </w:p>
        </w:tc>
        <w:tc>
          <w:tcPr>
            <w:tcW w:w="2970" w:type="dxa"/>
          </w:tcPr>
          <w:p w:rsidR="004E227C" w:rsidRPr="0016118A" w:rsidRDefault="0016118A" w:rsidP="00433FBC">
            <w:pPr>
              <w:pStyle w:val="ListParagraph"/>
              <w:numPr>
                <w:ilvl w:val="0"/>
                <w:numId w:val="5"/>
              </w:numPr>
              <w:ind w:left="342" w:hanging="342"/>
              <w:rPr>
                <w:b/>
              </w:rPr>
            </w:pPr>
            <w:r w:rsidRPr="0016118A">
              <w:rPr>
                <w:b/>
              </w:rPr>
              <w:t>Presentation Papers Due</w:t>
            </w:r>
          </w:p>
          <w:p w:rsidR="0016118A" w:rsidRDefault="0016118A" w:rsidP="00433FBC">
            <w:pPr>
              <w:pStyle w:val="ListParagraph"/>
              <w:numPr>
                <w:ilvl w:val="0"/>
                <w:numId w:val="5"/>
              </w:numPr>
              <w:ind w:left="342" w:hanging="342"/>
            </w:pPr>
            <w:r w:rsidRPr="0016118A">
              <w:rPr>
                <w:b/>
              </w:rPr>
              <w:t>Synthesis Papers Due</w:t>
            </w:r>
          </w:p>
        </w:tc>
      </w:tr>
    </w:tbl>
    <w:p w:rsidR="00CA2042" w:rsidRDefault="00CA2042" w:rsidP="00CA2042">
      <w:pPr>
        <w:spacing w:after="0"/>
      </w:pPr>
    </w:p>
    <w:sectPr w:rsidR="00CA2042" w:rsidSect="004E227C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0382A"/>
    <w:multiLevelType w:val="hybridMultilevel"/>
    <w:tmpl w:val="6E1A6FAA"/>
    <w:lvl w:ilvl="0" w:tplc="B3BCA28C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C5942"/>
    <w:multiLevelType w:val="hybridMultilevel"/>
    <w:tmpl w:val="35F66550"/>
    <w:lvl w:ilvl="0" w:tplc="EE12A84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EF1B7A"/>
    <w:multiLevelType w:val="hybridMultilevel"/>
    <w:tmpl w:val="C7E40692"/>
    <w:lvl w:ilvl="0" w:tplc="8DF0A094">
      <w:start w:val="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514AD"/>
    <w:multiLevelType w:val="hybridMultilevel"/>
    <w:tmpl w:val="2B6881BE"/>
    <w:lvl w:ilvl="0" w:tplc="8B40B6A4">
      <w:start w:val="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AA4740"/>
    <w:multiLevelType w:val="hybridMultilevel"/>
    <w:tmpl w:val="E0D013A8"/>
    <w:lvl w:ilvl="0" w:tplc="A2482806">
      <w:start w:val="512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042"/>
    <w:rsid w:val="000B0980"/>
    <w:rsid w:val="0016118A"/>
    <w:rsid w:val="002D6580"/>
    <w:rsid w:val="003A5833"/>
    <w:rsid w:val="00433FBC"/>
    <w:rsid w:val="004A0C1B"/>
    <w:rsid w:val="004A432C"/>
    <w:rsid w:val="004E227C"/>
    <w:rsid w:val="004E2AD7"/>
    <w:rsid w:val="005214B3"/>
    <w:rsid w:val="006C48C6"/>
    <w:rsid w:val="006F1DE0"/>
    <w:rsid w:val="0071138C"/>
    <w:rsid w:val="00723E83"/>
    <w:rsid w:val="007321E3"/>
    <w:rsid w:val="0079361A"/>
    <w:rsid w:val="00794D3F"/>
    <w:rsid w:val="00B35E1C"/>
    <w:rsid w:val="00B378B1"/>
    <w:rsid w:val="00B4786D"/>
    <w:rsid w:val="00C10CE3"/>
    <w:rsid w:val="00CA2042"/>
    <w:rsid w:val="00E50020"/>
    <w:rsid w:val="00E6032B"/>
    <w:rsid w:val="00E95E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204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204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10CE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z3988">
    <w:name w:val="z3988"/>
    <w:basedOn w:val="DefaultParagraphFont"/>
    <w:rsid w:val="00C10C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2042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204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10CE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z3988">
    <w:name w:val="z3988"/>
    <w:basedOn w:val="DefaultParagraphFont"/>
    <w:rsid w:val="00C10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Carolyn</cp:lastModifiedBy>
  <cp:revision>11</cp:revision>
  <dcterms:created xsi:type="dcterms:W3CDTF">2011-07-17T20:14:00Z</dcterms:created>
  <dcterms:modified xsi:type="dcterms:W3CDTF">2011-07-18T21:40:00Z</dcterms:modified>
</cp:coreProperties>
</file>